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AF77987" w:rsidR="00B26598" w:rsidRPr="00A353BC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A353BC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420C07C" w:rsidR="00B26598" w:rsidRPr="009512B5" w:rsidRDefault="000C79DA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33293BBC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6C565B">
        <w:rPr>
          <w:b/>
          <w:u w:val="single"/>
        </w:rPr>
        <w:t>Общая и неорганическая химия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2396AAD8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A353BC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252F9A80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 xml:space="preserve">Предмет аналитической химии. Значение аналитической химии в производстве, науке, медицине, </w:t>
      </w:r>
      <w:hyperlink r:id="rId5" w:tooltip="Фармация" w:history="1">
        <w:r w:rsidRPr="006C565B">
          <w:rPr>
            <w:rFonts w:ascii="Times New Roman" w:hAnsi="Times New Roman" w:cs="Times New Roman"/>
          </w:rPr>
          <w:t>фармации</w:t>
        </w:r>
      </w:hyperlink>
    </w:p>
    <w:p w14:paraId="2E46F29F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>Виды анализа и методы анализа</w:t>
      </w:r>
    </w:p>
    <w:p w14:paraId="72D69A98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>Качественный анализ, его задачи. Характеристика качественных реакций и условий их выполнения. Чувственность и избирательность реакций. Специфические, селективные и групповые реагенты и реакции.</w:t>
      </w:r>
    </w:p>
    <w:p w14:paraId="2DF5BB72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>Кислотно-основной метод классификации катионов. Групповые реагенты.</w:t>
      </w:r>
    </w:p>
    <w:p w14:paraId="4724D290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>Катионы I аналитической группы. Общая характеристика. Действие группового реагента. Биологическая роль катионов I аналитической группы и их применение в медицине. Частные реакции.</w:t>
      </w:r>
    </w:p>
    <w:p w14:paraId="6AAEC975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>Катионы II аналитической группы. Общая характеристика. Действие группового реагента. Биологическая роль катионов II аналитической группы и их применение в медицине. Частные реакции.</w:t>
      </w:r>
    </w:p>
    <w:p w14:paraId="4E7383F7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>Катионы III аналитической группы. Общая характеристика. Действие группового реагента. Биологическая роль катионов III аналитической группы и их применение в медицине. Частные реакции.</w:t>
      </w:r>
    </w:p>
    <w:p w14:paraId="409A7B3D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>Катионы IV аналитической группы. Общая характеристика. Действие группового реагента. Биологическая роль катионов IV аналитической группы и их применение в медицине. Частные реакции.</w:t>
      </w:r>
    </w:p>
    <w:p w14:paraId="0176AB34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>Катионы V аналитической группы. Общая характеристика. Действие группового реагента. Биологическая роль катионов V аналитической группы и их применение в медицине. Частные реакции.</w:t>
      </w:r>
    </w:p>
    <w:p w14:paraId="4092ADC7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>Катионы VI аналитической группы. Общая характеристика. Действие группового реагента. Биологическая роль катионов VI аналитической группы и их применение в медицине. Частные реакции.</w:t>
      </w:r>
    </w:p>
    <w:p w14:paraId="56217480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>Системный анализ анионов.</w:t>
      </w:r>
    </w:p>
    <w:p w14:paraId="5C7F2332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>Обнаружение анионов II аналитической группы. Общая характеристика. Действие общего реагента. Биологическая роль анионов II аналитической группы анионов. Частные реакции.</w:t>
      </w:r>
    </w:p>
    <w:p w14:paraId="1476270F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>Обнаружение анионов III аналитической группы. Общая характеристика. Действие общего реагента. Биологическая роль анионов III аналитической группы анионов. Частные реакции.</w:t>
      </w:r>
    </w:p>
    <w:p w14:paraId="13C52186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>Обнаружение анионов VI аналитической группы. Общая характеристика. Действие общего реагента. Биологическая роль анионов VI аналитической группы анионов. Частные реакции.</w:t>
      </w:r>
    </w:p>
    <w:p w14:paraId="0CA3D891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>Обнаружение анионов V аналитической группы. Общая характеристика. Действие общего реагента. Биологическая роль анионов V аналитической группы анионов. Частные реакции.</w:t>
      </w:r>
    </w:p>
    <w:p w14:paraId="04B7DFB6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lastRenderedPageBreak/>
        <w:t>Гравиметрический анализ. Достоинства и недостатки. Основные этапы гравиметрии. Определения.</w:t>
      </w:r>
    </w:p>
    <w:p w14:paraId="1D0E02F7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 xml:space="preserve">Гравиметрический анализ. Требования к осаждаемой к гравиметрическим формам. Условия образования кристаллических и </w:t>
      </w:r>
      <w:proofErr w:type="spellStart"/>
      <w:r w:rsidRPr="006C565B">
        <w:rPr>
          <w:rFonts w:ascii="Times New Roman" w:hAnsi="Times New Roman" w:cs="Times New Roman"/>
        </w:rPr>
        <w:t>амор</w:t>
      </w:r>
      <w:proofErr w:type="spellEnd"/>
      <w:r w:rsidRPr="006C565B">
        <w:rPr>
          <w:rFonts w:ascii="Times New Roman" w:hAnsi="Times New Roman" w:cs="Times New Roman"/>
        </w:rPr>
        <w:t xml:space="preserve"> ______ осадков.</w:t>
      </w:r>
    </w:p>
    <w:p w14:paraId="3D9479E6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>Титриметрические методы анализа. Достоинства и недостатки. Способы титрования.</w:t>
      </w:r>
    </w:p>
    <w:p w14:paraId="041540EE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>Титриметрические методы анализа. Растворы в титриметрическом анализе. Способы выражения концентрации растворов.</w:t>
      </w:r>
    </w:p>
    <w:p w14:paraId="3E688BCE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>Кривые титрования. Методы установления конечной точки титровании.</w:t>
      </w:r>
    </w:p>
    <w:p w14:paraId="4BC83128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 xml:space="preserve">Кислотно-основное титрование. Определяемые вещества и </w:t>
      </w:r>
      <w:proofErr w:type="spellStart"/>
      <w:r w:rsidRPr="006C565B">
        <w:rPr>
          <w:rFonts w:ascii="Times New Roman" w:hAnsi="Times New Roman" w:cs="Times New Roman"/>
        </w:rPr>
        <w:t>титранты</w:t>
      </w:r>
      <w:proofErr w:type="spellEnd"/>
      <w:r w:rsidRPr="006C565B">
        <w:rPr>
          <w:rFonts w:ascii="Times New Roman" w:hAnsi="Times New Roman" w:cs="Times New Roman"/>
        </w:rPr>
        <w:t>.</w:t>
      </w:r>
    </w:p>
    <w:p w14:paraId="5A12A4C5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 xml:space="preserve">Кислотно-основные индикаторы. Интервал </w:t>
      </w:r>
      <w:proofErr w:type="spellStart"/>
      <w:r w:rsidRPr="006C565B">
        <w:rPr>
          <w:rFonts w:ascii="Times New Roman" w:hAnsi="Times New Roman" w:cs="Times New Roman"/>
        </w:rPr>
        <w:t>ph</w:t>
      </w:r>
      <w:proofErr w:type="spellEnd"/>
      <w:r w:rsidRPr="006C565B">
        <w:rPr>
          <w:rFonts w:ascii="Times New Roman" w:hAnsi="Times New Roman" w:cs="Times New Roman"/>
        </w:rPr>
        <w:t xml:space="preserve"> перехода. Определение </w:t>
      </w:r>
      <w:proofErr w:type="spellStart"/>
      <w:r w:rsidRPr="006C565B">
        <w:rPr>
          <w:rFonts w:ascii="Times New Roman" w:hAnsi="Times New Roman" w:cs="Times New Roman"/>
        </w:rPr>
        <w:t>ph</w:t>
      </w:r>
      <w:proofErr w:type="spellEnd"/>
      <w:r w:rsidRPr="006C565B">
        <w:rPr>
          <w:rFonts w:ascii="Times New Roman" w:hAnsi="Times New Roman" w:cs="Times New Roman"/>
        </w:rPr>
        <w:t xml:space="preserve"> </w:t>
      </w:r>
      <w:proofErr w:type="spellStart"/>
      <w:r w:rsidRPr="006C565B">
        <w:rPr>
          <w:rFonts w:ascii="Times New Roman" w:hAnsi="Times New Roman" w:cs="Times New Roman"/>
        </w:rPr>
        <w:t>Mo</w:t>
      </w:r>
      <w:proofErr w:type="spellEnd"/>
    </w:p>
    <w:p w14:paraId="18480039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>Кривые кислотно-основного титрования.</w:t>
      </w:r>
    </w:p>
    <w:p w14:paraId="1D3D3857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>Классификация методов кислотно-основного титрования. Условия проведения. Определение КТТ.</w:t>
      </w:r>
    </w:p>
    <w:p w14:paraId="50A72CD5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proofErr w:type="spellStart"/>
      <w:r w:rsidRPr="006C565B">
        <w:rPr>
          <w:rFonts w:ascii="Times New Roman" w:hAnsi="Times New Roman" w:cs="Times New Roman"/>
        </w:rPr>
        <w:t>Перманганатометрия</w:t>
      </w:r>
      <w:proofErr w:type="spellEnd"/>
      <w:r w:rsidRPr="006C565B">
        <w:rPr>
          <w:rFonts w:ascii="Times New Roman" w:hAnsi="Times New Roman" w:cs="Times New Roman"/>
        </w:rPr>
        <w:t>.</w:t>
      </w:r>
    </w:p>
    <w:p w14:paraId="386FCF4E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proofErr w:type="spellStart"/>
      <w:r w:rsidRPr="006C565B">
        <w:rPr>
          <w:rFonts w:ascii="Times New Roman" w:hAnsi="Times New Roman" w:cs="Times New Roman"/>
        </w:rPr>
        <w:t>Йодометрия</w:t>
      </w:r>
      <w:proofErr w:type="spellEnd"/>
      <w:r w:rsidRPr="006C565B">
        <w:rPr>
          <w:rFonts w:ascii="Times New Roman" w:hAnsi="Times New Roman" w:cs="Times New Roman"/>
        </w:rPr>
        <w:t>.</w:t>
      </w:r>
    </w:p>
    <w:p w14:paraId="3470BAB4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>Нитрометрия.</w:t>
      </w:r>
    </w:p>
    <w:p w14:paraId="63B75D49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>Ионные равновесия в растворах. Растворимость. Произведение растворимости.</w:t>
      </w:r>
    </w:p>
    <w:p w14:paraId="0C82A7D1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>Методы осаждения. Общая характеристика и их классификация.</w:t>
      </w:r>
    </w:p>
    <w:p w14:paraId="0B6CBECB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 xml:space="preserve">Основные уравнения методов Моро, Фаянса, </w:t>
      </w:r>
      <w:proofErr w:type="spellStart"/>
      <w:r w:rsidRPr="006C565B">
        <w:rPr>
          <w:rFonts w:ascii="Times New Roman" w:hAnsi="Times New Roman" w:cs="Times New Roman"/>
        </w:rPr>
        <w:t>Фольгарда</w:t>
      </w:r>
      <w:proofErr w:type="spellEnd"/>
      <w:r w:rsidRPr="006C565B">
        <w:rPr>
          <w:rFonts w:ascii="Times New Roman" w:hAnsi="Times New Roman" w:cs="Times New Roman"/>
        </w:rPr>
        <w:t>.</w:t>
      </w:r>
    </w:p>
    <w:p w14:paraId="65E01842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 xml:space="preserve">Комплексонометрия. Определение. Общая характеристика. Основные </w:t>
      </w:r>
      <w:proofErr w:type="spellStart"/>
      <w:r w:rsidRPr="006C565B">
        <w:rPr>
          <w:rFonts w:ascii="Times New Roman" w:hAnsi="Times New Roman" w:cs="Times New Roman"/>
        </w:rPr>
        <w:t>титранты</w:t>
      </w:r>
      <w:proofErr w:type="spellEnd"/>
      <w:r w:rsidRPr="006C565B">
        <w:rPr>
          <w:rFonts w:ascii="Times New Roman" w:hAnsi="Times New Roman" w:cs="Times New Roman"/>
        </w:rPr>
        <w:t xml:space="preserve"> и первичные стандарты.</w:t>
      </w:r>
    </w:p>
    <w:p w14:paraId="610F83C0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 xml:space="preserve">Метод комплексонометрии. Условия </w:t>
      </w:r>
      <w:proofErr w:type="spellStart"/>
      <w:r w:rsidRPr="006C565B">
        <w:rPr>
          <w:rFonts w:ascii="Times New Roman" w:hAnsi="Times New Roman" w:cs="Times New Roman"/>
        </w:rPr>
        <w:t>комплексонометрических</w:t>
      </w:r>
      <w:proofErr w:type="spellEnd"/>
      <w:r w:rsidRPr="006C565B">
        <w:rPr>
          <w:rFonts w:ascii="Times New Roman" w:hAnsi="Times New Roman" w:cs="Times New Roman"/>
        </w:rPr>
        <w:t xml:space="preserve"> титрований. </w:t>
      </w:r>
      <w:proofErr w:type="spellStart"/>
      <w:r w:rsidRPr="006C565B">
        <w:rPr>
          <w:rFonts w:ascii="Times New Roman" w:hAnsi="Times New Roman" w:cs="Times New Roman"/>
        </w:rPr>
        <w:t>Комплексонометрические</w:t>
      </w:r>
      <w:proofErr w:type="spellEnd"/>
      <w:r w:rsidRPr="006C565B">
        <w:rPr>
          <w:rFonts w:ascii="Times New Roman" w:hAnsi="Times New Roman" w:cs="Times New Roman"/>
        </w:rPr>
        <w:t xml:space="preserve"> индикаторы.</w:t>
      </w:r>
    </w:p>
    <w:p w14:paraId="2B3E4C8B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>Физико-химические методы анализа и их классификация.</w:t>
      </w:r>
    </w:p>
    <w:p w14:paraId="100B4AA3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proofErr w:type="spellStart"/>
      <w:r w:rsidRPr="006C565B">
        <w:rPr>
          <w:rFonts w:ascii="Times New Roman" w:hAnsi="Times New Roman" w:cs="Times New Roman"/>
        </w:rPr>
        <w:t>Хроматографический</w:t>
      </w:r>
      <w:proofErr w:type="spellEnd"/>
      <w:r w:rsidRPr="006C565B">
        <w:rPr>
          <w:rFonts w:ascii="Times New Roman" w:hAnsi="Times New Roman" w:cs="Times New Roman"/>
        </w:rPr>
        <w:t xml:space="preserve"> анализ. Сущность. Классификация.</w:t>
      </w:r>
    </w:p>
    <w:p w14:paraId="1C3B1666" w14:textId="77777777" w:rsidR="006C565B" w:rsidRPr="006C565B" w:rsidRDefault="006C565B" w:rsidP="006C565B">
      <w:pPr>
        <w:pStyle w:val="a4"/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</w:rPr>
      </w:pPr>
      <w:r w:rsidRPr="006C565B">
        <w:rPr>
          <w:rFonts w:ascii="Times New Roman" w:hAnsi="Times New Roman" w:cs="Times New Roman"/>
        </w:rPr>
        <w:t>Рефрактометрический метод анализ.</w:t>
      </w:r>
    </w:p>
    <w:p w14:paraId="21D70FF6" w14:textId="77777777" w:rsidR="006C565B" w:rsidRPr="007B5D9E" w:rsidRDefault="006C565B" w:rsidP="006C565B">
      <w:pPr>
        <w:shd w:val="clear" w:color="auto" w:fill="FFFFFF"/>
        <w:spacing w:before="375"/>
        <w:ind w:left="450"/>
        <w:rPr>
          <w:rFonts w:asciiTheme="minorHAnsi" w:hAnsiTheme="minorHAnsi" w:cs="Tahoma"/>
        </w:rPr>
      </w:pPr>
    </w:p>
    <w:p w14:paraId="0D3EA113" w14:textId="4CC887BE" w:rsidR="007C5AA5" w:rsidRPr="0047444D" w:rsidRDefault="007C5AA5" w:rsidP="006C565B">
      <w:pPr>
        <w:tabs>
          <w:tab w:val="left" w:pos="851"/>
          <w:tab w:val="left" w:pos="1134"/>
        </w:tabs>
        <w:spacing w:line="276" w:lineRule="auto"/>
        <w:ind w:left="709"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4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4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B423D"/>
    <w:rsid w:val="00346D43"/>
    <w:rsid w:val="00364B28"/>
    <w:rsid w:val="0047444D"/>
    <w:rsid w:val="005026CD"/>
    <w:rsid w:val="00540D96"/>
    <w:rsid w:val="00570DE0"/>
    <w:rsid w:val="005F1879"/>
    <w:rsid w:val="006C0DBE"/>
    <w:rsid w:val="006C565B"/>
    <w:rsid w:val="007C31AD"/>
    <w:rsid w:val="007C5AA5"/>
    <w:rsid w:val="00821BD0"/>
    <w:rsid w:val="00856262"/>
    <w:rsid w:val="00A035FB"/>
    <w:rsid w:val="00A353BC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ndia.ru/text/category/farmatciy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27</cp:revision>
  <dcterms:created xsi:type="dcterms:W3CDTF">2022-07-18T07:11:00Z</dcterms:created>
  <dcterms:modified xsi:type="dcterms:W3CDTF">2022-08-08T04:47:00Z</dcterms:modified>
</cp:coreProperties>
</file>